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865"/>
        <w:gridCol w:w="7431"/>
      </w:tblGrid>
      <w:tr w:rsidR="0096242B" w:rsidRPr="0096242B" w:rsidTr="0096242B">
        <w:trPr>
          <w:trHeight w:val="402"/>
        </w:trPr>
        <w:tc>
          <w:tcPr>
            <w:tcW w:w="10900" w:type="dxa"/>
            <w:gridSpan w:val="2"/>
            <w:noWrap/>
            <w:hideMark/>
          </w:tcPr>
          <w:p w:rsidR="0096242B" w:rsidRPr="00324B39" w:rsidRDefault="0096242B" w:rsidP="00324B39">
            <w:pPr>
              <w:jc w:val="center"/>
              <w:rPr>
                <w:rFonts w:asciiTheme="majorEastAsia" w:eastAsiaTheme="majorEastAsia" w:hAnsiTheme="majorEastAsia"/>
                <w:b/>
                <w:sz w:val="32"/>
                <w:szCs w:val="32"/>
              </w:rPr>
            </w:pPr>
            <w:r w:rsidRPr="00324B39">
              <w:rPr>
                <w:rFonts w:asciiTheme="majorEastAsia" w:eastAsiaTheme="majorEastAsia" w:hAnsiTheme="majorEastAsia" w:hint="eastAsia"/>
                <w:b/>
                <w:sz w:val="32"/>
                <w:szCs w:val="32"/>
              </w:rPr>
              <w:t>2017年3月长三角法学研究生论文发布会入围名单</w:t>
            </w:r>
          </w:p>
        </w:tc>
      </w:tr>
      <w:tr w:rsidR="0096242B" w:rsidRPr="0096242B" w:rsidTr="0096242B">
        <w:trPr>
          <w:trHeight w:val="570"/>
        </w:trPr>
        <w:tc>
          <w:tcPr>
            <w:tcW w:w="1080" w:type="dxa"/>
            <w:hideMark/>
          </w:tcPr>
          <w:p w:rsidR="0096242B" w:rsidRPr="00324B39" w:rsidRDefault="0096242B" w:rsidP="00324B39">
            <w:pPr>
              <w:jc w:val="center"/>
              <w:rPr>
                <w:b/>
                <w:bCs/>
                <w:sz w:val="28"/>
                <w:szCs w:val="28"/>
              </w:rPr>
            </w:pPr>
            <w:r w:rsidRPr="00324B39">
              <w:rPr>
                <w:rFonts w:hint="eastAsia"/>
                <w:b/>
                <w:bCs/>
                <w:sz w:val="28"/>
                <w:szCs w:val="28"/>
              </w:rPr>
              <w:t>作者</w:t>
            </w:r>
          </w:p>
        </w:tc>
        <w:tc>
          <w:tcPr>
            <w:tcW w:w="9820" w:type="dxa"/>
            <w:noWrap/>
            <w:hideMark/>
          </w:tcPr>
          <w:p w:rsidR="0096242B" w:rsidRPr="00324B39" w:rsidRDefault="0096242B" w:rsidP="00324B39">
            <w:pPr>
              <w:jc w:val="center"/>
              <w:rPr>
                <w:b/>
                <w:bCs/>
                <w:sz w:val="28"/>
                <w:szCs w:val="28"/>
              </w:rPr>
            </w:pPr>
            <w:r w:rsidRPr="00324B39">
              <w:rPr>
                <w:rFonts w:hint="eastAsia"/>
                <w:b/>
                <w:bCs/>
                <w:sz w:val="28"/>
                <w:szCs w:val="28"/>
              </w:rPr>
              <w:t>论文题目</w:t>
            </w:r>
          </w:p>
        </w:tc>
      </w:tr>
      <w:tr w:rsidR="0096242B" w:rsidRPr="0096242B" w:rsidTr="0096242B">
        <w:trPr>
          <w:trHeight w:val="402"/>
        </w:trPr>
        <w:tc>
          <w:tcPr>
            <w:tcW w:w="1080" w:type="dxa"/>
            <w:hideMark/>
          </w:tcPr>
          <w:p w:rsidR="0096242B" w:rsidRPr="0096242B" w:rsidRDefault="0096242B" w:rsidP="0096242B">
            <w:r w:rsidRPr="0096242B">
              <w:rPr>
                <w:rFonts w:hint="eastAsia"/>
              </w:rPr>
              <w:t>杨晶晶</w:t>
            </w:r>
          </w:p>
        </w:tc>
        <w:tc>
          <w:tcPr>
            <w:tcW w:w="9820" w:type="dxa"/>
            <w:hideMark/>
          </w:tcPr>
          <w:p w:rsidR="0096242B" w:rsidRPr="0096242B" w:rsidRDefault="0096242B">
            <w:r w:rsidRPr="0096242B">
              <w:rPr>
                <w:rFonts w:hint="eastAsia"/>
              </w:rPr>
              <w:t>动态系统论视角下善良风俗的判定</w:t>
            </w:r>
          </w:p>
        </w:tc>
      </w:tr>
      <w:tr w:rsidR="0096242B" w:rsidRPr="0096242B" w:rsidTr="0096242B">
        <w:trPr>
          <w:trHeight w:val="402"/>
        </w:trPr>
        <w:tc>
          <w:tcPr>
            <w:tcW w:w="1080" w:type="dxa"/>
            <w:hideMark/>
          </w:tcPr>
          <w:p w:rsidR="0096242B" w:rsidRPr="0096242B" w:rsidRDefault="0096242B">
            <w:proofErr w:type="gramStart"/>
            <w:r w:rsidRPr="0096242B">
              <w:rPr>
                <w:rFonts w:hint="eastAsia"/>
              </w:rPr>
              <w:t>霍中警</w:t>
            </w:r>
            <w:proofErr w:type="gramEnd"/>
          </w:p>
        </w:tc>
        <w:tc>
          <w:tcPr>
            <w:tcW w:w="9820" w:type="dxa"/>
            <w:hideMark/>
          </w:tcPr>
          <w:p w:rsidR="0096242B" w:rsidRPr="0096242B" w:rsidRDefault="0096242B">
            <w:r w:rsidRPr="0096242B">
              <w:rPr>
                <w:rFonts w:hint="eastAsia"/>
              </w:rPr>
              <w:t>法律的生命是什么？——重新解读霍</w:t>
            </w:r>
            <w:proofErr w:type="gramStart"/>
            <w:r w:rsidRPr="0096242B">
              <w:rPr>
                <w:rFonts w:hint="eastAsia"/>
              </w:rPr>
              <w:t>姆</w:t>
            </w:r>
            <w:proofErr w:type="gramEnd"/>
            <w:r w:rsidRPr="0096242B">
              <w:rPr>
                <w:rFonts w:hint="eastAsia"/>
              </w:rPr>
              <w:t>斯的一个经典论断</w:t>
            </w:r>
          </w:p>
        </w:tc>
      </w:tr>
      <w:tr w:rsidR="0096242B" w:rsidRPr="0096242B" w:rsidTr="0096242B">
        <w:trPr>
          <w:trHeight w:val="402"/>
        </w:trPr>
        <w:tc>
          <w:tcPr>
            <w:tcW w:w="1080" w:type="dxa"/>
            <w:hideMark/>
          </w:tcPr>
          <w:p w:rsidR="0096242B" w:rsidRPr="0096242B" w:rsidRDefault="0096242B" w:rsidP="0096242B">
            <w:proofErr w:type="gramStart"/>
            <w:r w:rsidRPr="0096242B">
              <w:rPr>
                <w:rFonts w:hint="eastAsia"/>
              </w:rPr>
              <w:t>李响</w:t>
            </w:r>
            <w:proofErr w:type="gramEnd"/>
          </w:p>
        </w:tc>
        <w:tc>
          <w:tcPr>
            <w:tcW w:w="9820" w:type="dxa"/>
            <w:hideMark/>
          </w:tcPr>
          <w:p w:rsidR="0096242B" w:rsidRPr="0096242B" w:rsidRDefault="0096242B">
            <w:bookmarkStart w:id="0" w:name="RANGE!B5"/>
            <w:r w:rsidRPr="0096242B">
              <w:rPr>
                <w:rFonts w:hint="eastAsia"/>
              </w:rPr>
              <w:t>权力清单的定性研究——兼谈法概念的回应型变迁</w:t>
            </w:r>
            <w:bookmarkEnd w:id="0"/>
          </w:p>
        </w:tc>
      </w:tr>
      <w:tr w:rsidR="0096242B" w:rsidRPr="0096242B" w:rsidTr="0096242B">
        <w:trPr>
          <w:trHeight w:val="402"/>
        </w:trPr>
        <w:tc>
          <w:tcPr>
            <w:tcW w:w="1080" w:type="dxa"/>
            <w:hideMark/>
          </w:tcPr>
          <w:p w:rsidR="0096242B" w:rsidRPr="0096242B" w:rsidRDefault="0096242B" w:rsidP="0096242B">
            <w:r w:rsidRPr="0096242B">
              <w:rPr>
                <w:rFonts w:hint="eastAsia"/>
              </w:rPr>
              <w:t>彭宁</w:t>
            </w:r>
          </w:p>
        </w:tc>
        <w:tc>
          <w:tcPr>
            <w:tcW w:w="9820" w:type="dxa"/>
            <w:hideMark/>
          </w:tcPr>
          <w:p w:rsidR="0096242B" w:rsidRPr="0096242B" w:rsidRDefault="0096242B">
            <w:r w:rsidRPr="0096242B">
              <w:rPr>
                <w:rFonts w:hint="eastAsia"/>
              </w:rPr>
              <w:t>走出法律推理二元论的迷雾——反省比较法中形式与实质之争</w:t>
            </w:r>
          </w:p>
        </w:tc>
      </w:tr>
      <w:tr w:rsidR="0096242B" w:rsidRPr="0096242B" w:rsidTr="0096242B">
        <w:trPr>
          <w:trHeight w:val="402"/>
        </w:trPr>
        <w:tc>
          <w:tcPr>
            <w:tcW w:w="1080" w:type="dxa"/>
            <w:hideMark/>
          </w:tcPr>
          <w:p w:rsidR="0096242B" w:rsidRPr="0096242B" w:rsidRDefault="0096242B" w:rsidP="0096242B">
            <w:r w:rsidRPr="0096242B">
              <w:rPr>
                <w:rFonts w:hint="eastAsia"/>
              </w:rPr>
              <w:t>郭天真</w:t>
            </w:r>
          </w:p>
        </w:tc>
        <w:tc>
          <w:tcPr>
            <w:tcW w:w="9820" w:type="dxa"/>
            <w:hideMark/>
          </w:tcPr>
          <w:p w:rsidR="0096242B" w:rsidRPr="0096242B" w:rsidRDefault="0096242B">
            <w:r w:rsidRPr="0096242B">
              <w:rPr>
                <w:rFonts w:hint="eastAsia"/>
              </w:rPr>
              <w:t>言</w:t>
            </w:r>
            <w:proofErr w:type="gramStart"/>
            <w:r w:rsidRPr="0096242B">
              <w:rPr>
                <w:rFonts w:hint="eastAsia"/>
              </w:rPr>
              <w:t>谏</w:t>
            </w:r>
            <w:proofErr w:type="gramEnd"/>
            <w:r w:rsidRPr="0096242B">
              <w:rPr>
                <w:rFonts w:hint="eastAsia"/>
              </w:rPr>
              <w:t>制度的士大夫精神——以唐代为考察对象</w:t>
            </w:r>
          </w:p>
        </w:tc>
      </w:tr>
      <w:tr w:rsidR="0096242B" w:rsidRPr="0096242B" w:rsidTr="0096242B">
        <w:trPr>
          <w:trHeight w:val="402"/>
        </w:trPr>
        <w:tc>
          <w:tcPr>
            <w:tcW w:w="1080" w:type="dxa"/>
            <w:hideMark/>
          </w:tcPr>
          <w:p w:rsidR="0096242B" w:rsidRPr="0096242B" w:rsidRDefault="0096242B" w:rsidP="0096242B">
            <w:r w:rsidRPr="0096242B">
              <w:rPr>
                <w:rFonts w:hint="eastAsia"/>
              </w:rPr>
              <w:t>徐涛</w:t>
            </w:r>
          </w:p>
        </w:tc>
        <w:tc>
          <w:tcPr>
            <w:tcW w:w="9820" w:type="dxa"/>
            <w:hideMark/>
          </w:tcPr>
          <w:p w:rsidR="0096242B" w:rsidRPr="0096242B" w:rsidRDefault="0096242B">
            <w:bookmarkStart w:id="1" w:name="RANGE!B8"/>
            <w:r w:rsidRPr="0096242B">
              <w:rPr>
                <w:rFonts w:hint="eastAsia"/>
              </w:rPr>
              <w:t>“民间法”概念辨正——</w:t>
            </w:r>
            <w:r w:rsidRPr="0096242B">
              <w:rPr>
                <w:rFonts w:hint="eastAsia"/>
              </w:rPr>
              <w:t xml:space="preserve"> </w:t>
            </w:r>
            <w:r w:rsidRPr="0096242B">
              <w:rPr>
                <w:rFonts w:hint="eastAsia"/>
              </w:rPr>
              <w:t>民间法话语的反思与重构</w:t>
            </w:r>
            <w:bookmarkEnd w:id="1"/>
          </w:p>
        </w:tc>
      </w:tr>
      <w:tr w:rsidR="0096242B" w:rsidRPr="0096242B" w:rsidTr="0096242B">
        <w:trPr>
          <w:trHeight w:val="402"/>
        </w:trPr>
        <w:tc>
          <w:tcPr>
            <w:tcW w:w="1080" w:type="dxa"/>
            <w:hideMark/>
          </w:tcPr>
          <w:p w:rsidR="0096242B" w:rsidRPr="0096242B" w:rsidRDefault="0096242B">
            <w:r w:rsidRPr="0096242B">
              <w:rPr>
                <w:rFonts w:hint="eastAsia"/>
              </w:rPr>
              <w:t>周恒</w:t>
            </w:r>
          </w:p>
        </w:tc>
        <w:tc>
          <w:tcPr>
            <w:tcW w:w="9820" w:type="dxa"/>
            <w:hideMark/>
          </w:tcPr>
          <w:p w:rsidR="0096242B" w:rsidRPr="0096242B" w:rsidRDefault="0096242B">
            <w:r w:rsidRPr="0096242B">
              <w:rPr>
                <w:rFonts w:hint="eastAsia"/>
              </w:rPr>
              <w:t>法治社会的四维表征</w:t>
            </w:r>
          </w:p>
        </w:tc>
      </w:tr>
      <w:tr w:rsidR="0096242B" w:rsidRPr="0096242B" w:rsidTr="0096242B">
        <w:trPr>
          <w:trHeight w:val="402"/>
        </w:trPr>
        <w:tc>
          <w:tcPr>
            <w:tcW w:w="1080" w:type="dxa"/>
            <w:hideMark/>
          </w:tcPr>
          <w:p w:rsidR="0096242B" w:rsidRPr="0096242B" w:rsidRDefault="0096242B">
            <w:r w:rsidRPr="0096242B">
              <w:rPr>
                <w:rFonts w:hint="eastAsia"/>
              </w:rPr>
              <w:t>韩彤</w:t>
            </w:r>
          </w:p>
        </w:tc>
        <w:tc>
          <w:tcPr>
            <w:tcW w:w="9820" w:type="dxa"/>
            <w:hideMark/>
          </w:tcPr>
          <w:p w:rsidR="0096242B" w:rsidRPr="0096242B" w:rsidRDefault="0096242B">
            <w:r w:rsidRPr="0096242B">
              <w:rPr>
                <w:rFonts w:hint="eastAsia"/>
              </w:rPr>
              <w:t>论“制度化的制宪权”</w:t>
            </w:r>
          </w:p>
        </w:tc>
      </w:tr>
      <w:tr w:rsidR="0096242B" w:rsidRPr="0096242B" w:rsidTr="0096242B">
        <w:trPr>
          <w:trHeight w:val="402"/>
        </w:trPr>
        <w:tc>
          <w:tcPr>
            <w:tcW w:w="1080" w:type="dxa"/>
            <w:hideMark/>
          </w:tcPr>
          <w:p w:rsidR="0096242B" w:rsidRPr="0096242B" w:rsidRDefault="0096242B">
            <w:r w:rsidRPr="0096242B">
              <w:rPr>
                <w:rFonts w:hint="eastAsia"/>
              </w:rPr>
              <w:t>陈俊生</w:t>
            </w:r>
          </w:p>
        </w:tc>
        <w:tc>
          <w:tcPr>
            <w:tcW w:w="9820" w:type="dxa"/>
            <w:hideMark/>
          </w:tcPr>
          <w:p w:rsidR="0096242B" w:rsidRPr="0096242B" w:rsidRDefault="0096242B">
            <w:r w:rsidRPr="0096242B">
              <w:rPr>
                <w:rFonts w:hint="eastAsia"/>
              </w:rPr>
              <w:t>论行政合同中的情势变更原则</w:t>
            </w:r>
          </w:p>
        </w:tc>
      </w:tr>
      <w:tr w:rsidR="0096242B" w:rsidRPr="0096242B" w:rsidTr="0096242B">
        <w:trPr>
          <w:trHeight w:val="402"/>
        </w:trPr>
        <w:tc>
          <w:tcPr>
            <w:tcW w:w="1080" w:type="dxa"/>
            <w:hideMark/>
          </w:tcPr>
          <w:p w:rsidR="0096242B" w:rsidRPr="0096242B" w:rsidRDefault="0096242B">
            <w:r w:rsidRPr="0096242B">
              <w:rPr>
                <w:rFonts w:hint="eastAsia"/>
              </w:rPr>
              <w:t>王庆廷</w:t>
            </w:r>
          </w:p>
        </w:tc>
        <w:tc>
          <w:tcPr>
            <w:tcW w:w="9820" w:type="dxa"/>
            <w:hideMark/>
          </w:tcPr>
          <w:p w:rsidR="0096242B" w:rsidRPr="0096242B" w:rsidRDefault="0096242B">
            <w:r w:rsidRPr="0096242B">
              <w:rPr>
                <w:rFonts w:hint="eastAsia"/>
              </w:rPr>
              <w:t>技术标准的程序规制——兼论</w:t>
            </w:r>
            <w:r w:rsidRPr="0096242B">
              <w:rPr>
                <w:rFonts w:hint="eastAsia"/>
              </w:rPr>
              <w:t>&lt;</w:t>
            </w:r>
            <w:r w:rsidRPr="0096242B">
              <w:rPr>
                <w:rFonts w:hint="eastAsia"/>
              </w:rPr>
              <w:t>标准化法</w:t>
            </w:r>
            <w:r w:rsidRPr="0096242B">
              <w:rPr>
                <w:rFonts w:hint="eastAsia"/>
              </w:rPr>
              <w:t>&gt;</w:t>
            </w:r>
            <w:r w:rsidRPr="0096242B">
              <w:rPr>
                <w:rFonts w:hint="eastAsia"/>
              </w:rPr>
              <w:t>的原则性修改路径</w:t>
            </w:r>
          </w:p>
        </w:tc>
      </w:tr>
      <w:tr w:rsidR="0096242B" w:rsidRPr="0096242B" w:rsidTr="0096242B">
        <w:trPr>
          <w:trHeight w:val="402"/>
        </w:trPr>
        <w:tc>
          <w:tcPr>
            <w:tcW w:w="1080" w:type="dxa"/>
            <w:hideMark/>
          </w:tcPr>
          <w:p w:rsidR="0096242B" w:rsidRPr="0096242B" w:rsidRDefault="0096242B">
            <w:r w:rsidRPr="0096242B">
              <w:rPr>
                <w:rFonts w:hint="eastAsia"/>
              </w:rPr>
              <w:t>郑琳</w:t>
            </w:r>
          </w:p>
        </w:tc>
        <w:tc>
          <w:tcPr>
            <w:tcW w:w="9820" w:type="dxa"/>
            <w:hideMark/>
          </w:tcPr>
          <w:p w:rsidR="0096242B" w:rsidRPr="0096242B" w:rsidRDefault="0096242B">
            <w:r w:rsidRPr="0096242B">
              <w:rPr>
                <w:rFonts w:hint="eastAsia"/>
              </w:rPr>
              <w:t>论行政形式作为下的实质不作为</w:t>
            </w:r>
          </w:p>
        </w:tc>
      </w:tr>
      <w:tr w:rsidR="0096242B" w:rsidRPr="0096242B" w:rsidTr="0096242B">
        <w:trPr>
          <w:trHeight w:val="402"/>
        </w:trPr>
        <w:tc>
          <w:tcPr>
            <w:tcW w:w="1080" w:type="dxa"/>
            <w:hideMark/>
          </w:tcPr>
          <w:p w:rsidR="0096242B" w:rsidRPr="0096242B" w:rsidRDefault="0096242B">
            <w:proofErr w:type="gramStart"/>
            <w:r w:rsidRPr="0096242B">
              <w:rPr>
                <w:rFonts w:hint="eastAsia"/>
              </w:rPr>
              <w:t>肖洒</w:t>
            </w:r>
            <w:proofErr w:type="gramEnd"/>
          </w:p>
        </w:tc>
        <w:tc>
          <w:tcPr>
            <w:tcW w:w="9820" w:type="dxa"/>
            <w:hideMark/>
          </w:tcPr>
          <w:p w:rsidR="0096242B" w:rsidRPr="0096242B" w:rsidRDefault="0096242B">
            <w:r w:rsidRPr="0096242B">
              <w:rPr>
                <w:rFonts w:hint="eastAsia"/>
              </w:rPr>
              <w:t>论在学行政协议与法的关系——以</w:t>
            </w:r>
            <w:r w:rsidRPr="0096242B">
              <w:rPr>
                <w:rFonts w:hint="eastAsia"/>
              </w:rPr>
              <w:t>Z</w:t>
            </w:r>
            <w:r w:rsidRPr="0096242B">
              <w:rPr>
                <w:rFonts w:hint="eastAsia"/>
              </w:rPr>
              <w:t>校</w:t>
            </w:r>
            <w:r w:rsidRPr="0096242B">
              <w:rPr>
                <w:rFonts w:hint="eastAsia"/>
              </w:rPr>
              <w:t>C</w:t>
            </w:r>
            <w:r w:rsidRPr="0096242B">
              <w:rPr>
                <w:rFonts w:hint="eastAsia"/>
              </w:rPr>
              <w:t>院外语保送生事件为例</w:t>
            </w:r>
          </w:p>
        </w:tc>
      </w:tr>
      <w:tr w:rsidR="0096242B" w:rsidRPr="0096242B" w:rsidTr="0096242B">
        <w:trPr>
          <w:trHeight w:val="402"/>
        </w:trPr>
        <w:tc>
          <w:tcPr>
            <w:tcW w:w="1080" w:type="dxa"/>
            <w:hideMark/>
          </w:tcPr>
          <w:p w:rsidR="0096242B" w:rsidRPr="0096242B" w:rsidRDefault="0096242B">
            <w:proofErr w:type="gramStart"/>
            <w:r w:rsidRPr="0096242B">
              <w:rPr>
                <w:rFonts w:hint="eastAsia"/>
              </w:rPr>
              <w:t>周文章</w:t>
            </w:r>
            <w:proofErr w:type="gramEnd"/>
          </w:p>
        </w:tc>
        <w:tc>
          <w:tcPr>
            <w:tcW w:w="9820" w:type="dxa"/>
            <w:hideMark/>
          </w:tcPr>
          <w:p w:rsidR="0096242B" w:rsidRPr="0096242B" w:rsidRDefault="0096242B">
            <w:r w:rsidRPr="0096242B">
              <w:rPr>
                <w:rFonts w:hint="eastAsia"/>
              </w:rPr>
              <w:t>征地拆迁司法判决的运行图景——来自长三角</w:t>
            </w:r>
            <w:r w:rsidRPr="0096242B">
              <w:rPr>
                <w:rFonts w:hint="eastAsia"/>
              </w:rPr>
              <w:t>2242</w:t>
            </w:r>
            <w:r w:rsidRPr="0096242B">
              <w:rPr>
                <w:rFonts w:hint="eastAsia"/>
              </w:rPr>
              <w:t>起案件的证据</w:t>
            </w:r>
          </w:p>
        </w:tc>
      </w:tr>
      <w:tr w:rsidR="0096242B" w:rsidRPr="0096242B" w:rsidTr="0096242B">
        <w:trPr>
          <w:trHeight w:val="402"/>
        </w:trPr>
        <w:tc>
          <w:tcPr>
            <w:tcW w:w="1080" w:type="dxa"/>
            <w:hideMark/>
          </w:tcPr>
          <w:p w:rsidR="0096242B" w:rsidRPr="0096242B" w:rsidRDefault="0096242B">
            <w:r w:rsidRPr="0096242B">
              <w:rPr>
                <w:rFonts w:hint="eastAsia"/>
              </w:rPr>
              <w:t>曹相见</w:t>
            </w:r>
          </w:p>
        </w:tc>
        <w:tc>
          <w:tcPr>
            <w:tcW w:w="9820" w:type="dxa"/>
            <w:hideMark/>
          </w:tcPr>
          <w:p w:rsidR="0096242B" w:rsidRPr="0096242B" w:rsidRDefault="0096242B">
            <w:bookmarkStart w:id="2" w:name="RANGE!B16"/>
            <w:r w:rsidRPr="0096242B">
              <w:rPr>
                <w:rFonts w:hint="eastAsia"/>
              </w:rPr>
              <w:t>民法典如何回应宪法？——基于法律历史和法教义学的考察</w:t>
            </w:r>
            <w:bookmarkEnd w:id="2"/>
          </w:p>
        </w:tc>
      </w:tr>
      <w:tr w:rsidR="0096242B" w:rsidRPr="0096242B" w:rsidTr="0096242B">
        <w:trPr>
          <w:trHeight w:val="402"/>
        </w:trPr>
        <w:tc>
          <w:tcPr>
            <w:tcW w:w="1080" w:type="dxa"/>
            <w:hideMark/>
          </w:tcPr>
          <w:p w:rsidR="0096242B" w:rsidRPr="0096242B" w:rsidRDefault="0096242B" w:rsidP="0096242B">
            <w:proofErr w:type="gramStart"/>
            <w:r w:rsidRPr="0096242B">
              <w:rPr>
                <w:rFonts w:hint="eastAsia"/>
              </w:rPr>
              <w:t>陈吉栋</w:t>
            </w:r>
            <w:proofErr w:type="gramEnd"/>
          </w:p>
        </w:tc>
        <w:tc>
          <w:tcPr>
            <w:tcW w:w="9820" w:type="dxa"/>
            <w:hideMark/>
          </w:tcPr>
          <w:p w:rsidR="0096242B" w:rsidRPr="0096242B" w:rsidRDefault="0096242B">
            <w:r w:rsidRPr="0096242B">
              <w:rPr>
                <w:rFonts w:hint="eastAsia"/>
              </w:rPr>
              <w:t>我国“不当得利类型说”的批判</w:t>
            </w:r>
          </w:p>
        </w:tc>
      </w:tr>
      <w:tr w:rsidR="0096242B" w:rsidRPr="0096242B" w:rsidTr="0096242B">
        <w:trPr>
          <w:trHeight w:val="402"/>
        </w:trPr>
        <w:tc>
          <w:tcPr>
            <w:tcW w:w="1080" w:type="dxa"/>
            <w:hideMark/>
          </w:tcPr>
          <w:p w:rsidR="0096242B" w:rsidRPr="0096242B" w:rsidRDefault="0096242B">
            <w:r w:rsidRPr="0096242B">
              <w:rPr>
                <w:rFonts w:hint="eastAsia"/>
              </w:rPr>
              <w:t>黄学里</w:t>
            </w:r>
          </w:p>
        </w:tc>
        <w:tc>
          <w:tcPr>
            <w:tcW w:w="9820" w:type="dxa"/>
            <w:hideMark/>
          </w:tcPr>
          <w:p w:rsidR="0096242B" w:rsidRPr="0096242B" w:rsidRDefault="0096242B">
            <w:r w:rsidRPr="0096242B">
              <w:rPr>
                <w:rFonts w:hint="eastAsia"/>
              </w:rPr>
              <w:t>理性的量化：知识产权法定赔偿之恪守与超越——基于</w:t>
            </w:r>
            <w:r w:rsidRPr="0096242B">
              <w:rPr>
                <w:rFonts w:hint="eastAsia"/>
              </w:rPr>
              <w:t>310</w:t>
            </w:r>
            <w:r w:rsidRPr="0096242B">
              <w:rPr>
                <w:rFonts w:hint="eastAsia"/>
              </w:rPr>
              <w:t>份案例之</w:t>
            </w:r>
            <w:r w:rsidRPr="0096242B">
              <w:rPr>
                <w:rFonts w:hint="eastAsia"/>
              </w:rPr>
              <w:t>SPSS</w:t>
            </w:r>
            <w:r w:rsidRPr="0096242B">
              <w:rPr>
                <w:rFonts w:hint="eastAsia"/>
              </w:rPr>
              <w:t>统计分析</w:t>
            </w:r>
          </w:p>
        </w:tc>
      </w:tr>
      <w:tr w:rsidR="0096242B" w:rsidRPr="0096242B" w:rsidTr="0096242B">
        <w:trPr>
          <w:trHeight w:val="402"/>
        </w:trPr>
        <w:tc>
          <w:tcPr>
            <w:tcW w:w="1080" w:type="dxa"/>
            <w:hideMark/>
          </w:tcPr>
          <w:p w:rsidR="0096242B" w:rsidRPr="0096242B" w:rsidRDefault="0096242B">
            <w:r w:rsidRPr="0096242B">
              <w:rPr>
                <w:rFonts w:hint="eastAsia"/>
              </w:rPr>
              <w:t>孙</w:t>
            </w:r>
            <w:proofErr w:type="gramStart"/>
            <w:r w:rsidRPr="0096242B">
              <w:rPr>
                <w:rFonts w:hint="eastAsia"/>
              </w:rPr>
              <w:t>犀</w:t>
            </w:r>
            <w:proofErr w:type="gramEnd"/>
            <w:r w:rsidRPr="0096242B">
              <w:rPr>
                <w:rFonts w:hint="eastAsia"/>
              </w:rPr>
              <w:t>铭</w:t>
            </w:r>
          </w:p>
        </w:tc>
        <w:tc>
          <w:tcPr>
            <w:tcW w:w="9820" w:type="dxa"/>
            <w:hideMark/>
          </w:tcPr>
          <w:p w:rsidR="0096242B" w:rsidRPr="0096242B" w:rsidRDefault="0096242B">
            <w:r w:rsidRPr="0096242B">
              <w:rPr>
                <w:rFonts w:hint="eastAsia"/>
              </w:rPr>
              <w:t>欠缺行为能力宣告制度实证研究——兼评《民法总则草案》三审稿</w:t>
            </w:r>
          </w:p>
        </w:tc>
      </w:tr>
      <w:tr w:rsidR="0096242B" w:rsidRPr="0096242B" w:rsidTr="0096242B">
        <w:trPr>
          <w:trHeight w:val="402"/>
        </w:trPr>
        <w:tc>
          <w:tcPr>
            <w:tcW w:w="1080" w:type="dxa"/>
            <w:hideMark/>
          </w:tcPr>
          <w:p w:rsidR="0096242B" w:rsidRPr="0096242B" w:rsidRDefault="0096242B">
            <w:proofErr w:type="gramStart"/>
            <w:r w:rsidRPr="0096242B">
              <w:rPr>
                <w:rFonts w:hint="eastAsia"/>
              </w:rPr>
              <w:t>孙思琪</w:t>
            </w:r>
            <w:proofErr w:type="gramEnd"/>
          </w:p>
        </w:tc>
        <w:tc>
          <w:tcPr>
            <w:tcW w:w="9820" w:type="dxa"/>
            <w:hideMark/>
          </w:tcPr>
          <w:p w:rsidR="0096242B" w:rsidRPr="0096242B" w:rsidRDefault="0096242B">
            <w:r w:rsidRPr="0096242B">
              <w:rPr>
                <w:rFonts w:hint="eastAsia"/>
              </w:rPr>
              <w:t>雇佣救助合同法律适用之辨——最高人民法院（</w:t>
            </w:r>
            <w:r w:rsidRPr="0096242B">
              <w:rPr>
                <w:rFonts w:hint="eastAsia"/>
              </w:rPr>
              <w:t>2016</w:t>
            </w:r>
            <w:r w:rsidRPr="0096242B">
              <w:rPr>
                <w:rFonts w:hint="eastAsia"/>
              </w:rPr>
              <w:t>）最高法民再</w:t>
            </w:r>
            <w:r w:rsidRPr="0096242B">
              <w:rPr>
                <w:rFonts w:hint="eastAsia"/>
              </w:rPr>
              <w:t>61</w:t>
            </w:r>
            <w:r w:rsidRPr="0096242B">
              <w:rPr>
                <w:rFonts w:hint="eastAsia"/>
              </w:rPr>
              <w:t>号民事判决之评释</w:t>
            </w:r>
          </w:p>
        </w:tc>
      </w:tr>
      <w:tr w:rsidR="0096242B" w:rsidRPr="0096242B" w:rsidTr="0096242B">
        <w:trPr>
          <w:trHeight w:val="402"/>
        </w:trPr>
        <w:tc>
          <w:tcPr>
            <w:tcW w:w="1080" w:type="dxa"/>
            <w:hideMark/>
          </w:tcPr>
          <w:p w:rsidR="0096242B" w:rsidRPr="0096242B" w:rsidRDefault="0096242B">
            <w:r w:rsidRPr="0096242B">
              <w:rPr>
                <w:rFonts w:hint="eastAsia"/>
              </w:rPr>
              <w:t>王兵</w:t>
            </w:r>
            <w:proofErr w:type="gramStart"/>
            <w:r w:rsidRPr="0096242B">
              <w:rPr>
                <w:rFonts w:hint="eastAsia"/>
              </w:rPr>
              <w:t>兵</w:t>
            </w:r>
            <w:proofErr w:type="gramEnd"/>
          </w:p>
        </w:tc>
        <w:tc>
          <w:tcPr>
            <w:tcW w:w="9820" w:type="dxa"/>
            <w:hideMark/>
          </w:tcPr>
          <w:p w:rsidR="0096242B" w:rsidRPr="0096242B" w:rsidRDefault="0096242B">
            <w:r w:rsidRPr="0096242B">
              <w:rPr>
                <w:rFonts w:hint="eastAsia"/>
              </w:rPr>
              <w:t>买卖型担保合同之界定标准——兼论我国现行担保制度的功能与漏洞</w:t>
            </w:r>
          </w:p>
        </w:tc>
      </w:tr>
      <w:tr w:rsidR="0096242B" w:rsidRPr="0096242B" w:rsidTr="0096242B">
        <w:trPr>
          <w:trHeight w:val="570"/>
        </w:trPr>
        <w:tc>
          <w:tcPr>
            <w:tcW w:w="1080" w:type="dxa"/>
            <w:hideMark/>
          </w:tcPr>
          <w:p w:rsidR="0096242B" w:rsidRPr="0096242B" w:rsidRDefault="0096242B">
            <w:r w:rsidRPr="0096242B">
              <w:rPr>
                <w:rFonts w:hint="eastAsia"/>
              </w:rPr>
              <w:t>王吉中</w:t>
            </w:r>
          </w:p>
        </w:tc>
        <w:tc>
          <w:tcPr>
            <w:tcW w:w="9820" w:type="dxa"/>
            <w:hideMark/>
          </w:tcPr>
          <w:p w:rsidR="0096242B" w:rsidRPr="0096242B" w:rsidRDefault="0096242B">
            <w:r w:rsidRPr="0096242B">
              <w:rPr>
                <w:rFonts w:hint="eastAsia"/>
              </w:rPr>
              <w:t>《婚姻法》第</w:t>
            </w:r>
            <w:r w:rsidRPr="0096242B">
              <w:rPr>
                <w:rFonts w:hint="eastAsia"/>
              </w:rPr>
              <w:t>18</w:t>
            </w:r>
            <w:r w:rsidRPr="0096242B">
              <w:rPr>
                <w:rFonts w:hint="eastAsia"/>
              </w:rPr>
              <w:t>条第（三）项“确定只归”规定之再省察——以《婚姻法解释（三）》第</w:t>
            </w:r>
            <w:r w:rsidRPr="0096242B">
              <w:rPr>
                <w:rFonts w:hint="eastAsia"/>
              </w:rPr>
              <w:t>7</w:t>
            </w:r>
            <w:r w:rsidRPr="0096242B">
              <w:rPr>
                <w:rFonts w:hint="eastAsia"/>
              </w:rPr>
              <w:t>条的体系解释为视角</w:t>
            </w:r>
          </w:p>
        </w:tc>
      </w:tr>
      <w:tr w:rsidR="0096242B" w:rsidRPr="0096242B" w:rsidTr="0096242B">
        <w:trPr>
          <w:trHeight w:val="570"/>
        </w:trPr>
        <w:tc>
          <w:tcPr>
            <w:tcW w:w="1080" w:type="dxa"/>
            <w:hideMark/>
          </w:tcPr>
          <w:p w:rsidR="0096242B" w:rsidRPr="0096242B" w:rsidRDefault="0096242B">
            <w:r w:rsidRPr="0096242B">
              <w:rPr>
                <w:rFonts w:hint="eastAsia"/>
              </w:rPr>
              <w:t>于焕超</w:t>
            </w:r>
          </w:p>
        </w:tc>
        <w:tc>
          <w:tcPr>
            <w:tcW w:w="9820" w:type="dxa"/>
            <w:hideMark/>
          </w:tcPr>
          <w:p w:rsidR="0096242B" w:rsidRPr="0096242B" w:rsidRDefault="0096242B">
            <w:r w:rsidRPr="0096242B">
              <w:rPr>
                <w:rFonts w:hint="eastAsia"/>
              </w:rPr>
              <w:t>法律修订视角下惩罚性赔偿体系重构</w:t>
            </w:r>
            <w:r w:rsidRPr="0096242B">
              <w:rPr>
                <w:rFonts w:hint="eastAsia"/>
              </w:rPr>
              <w:t xml:space="preserve"> </w:t>
            </w:r>
            <w:r w:rsidRPr="0096242B">
              <w:rPr>
                <w:rFonts w:hint="eastAsia"/>
              </w:rPr>
              <w:t>—兼评《消费者权益保护法》第</w:t>
            </w:r>
            <w:r w:rsidRPr="0096242B">
              <w:rPr>
                <w:rFonts w:hint="eastAsia"/>
              </w:rPr>
              <w:t>55</w:t>
            </w:r>
            <w:r w:rsidRPr="0096242B">
              <w:rPr>
                <w:rFonts w:hint="eastAsia"/>
              </w:rPr>
              <w:t>条与《食品安全法》第</w:t>
            </w:r>
            <w:r w:rsidRPr="0096242B">
              <w:rPr>
                <w:rFonts w:hint="eastAsia"/>
              </w:rPr>
              <w:t>148</w:t>
            </w:r>
            <w:r w:rsidRPr="0096242B">
              <w:rPr>
                <w:rFonts w:hint="eastAsia"/>
              </w:rPr>
              <w:t>条第</w:t>
            </w:r>
            <w:r w:rsidRPr="0096242B">
              <w:rPr>
                <w:rFonts w:hint="eastAsia"/>
              </w:rPr>
              <w:t>2</w:t>
            </w:r>
            <w:r w:rsidRPr="0096242B">
              <w:rPr>
                <w:rFonts w:hint="eastAsia"/>
              </w:rPr>
              <w:t>款</w:t>
            </w:r>
          </w:p>
        </w:tc>
      </w:tr>
      <w:tr w:rsidR="0096242B" w:rsidRPr="0096242B" w:rsidTr="0096242B">
        <w:trPr>
          <w:trHeight w:val="402"/>
        </w:trPr>
        <w:tc>
          <w:tcPr>
            <w:tcW w:w="1080" w:type="dxa"/>
            <w:hideMark/>
          </w:tcPr>
          <w:p w:rsidR="0096242B" w:rsidRPr="0096242B" w:rsidRDefault="0096242B">
            <w:r w:rsidRPr="0096242B">
              <w:rPr>
                <w:rFonts w:hint="eastAsia"/>
              </w:rPr>
              <w:t>沈浩浩</w:t>
            </w:r>
          </w:p>
        </w:tc>
        <w:tc>
          <w:tcPr>
            <w:tcW w:w="9820" w:type="dxa"/>
            <w:hideMark/>
          </w:tcPr>
          <w:p w:rsidR="0096242B" w:rsidRPr="0096242B" w:rsidRDefault="0096242B">
            <w:r w:rsidRPr="0096242B">
              <w:rPr>
                <w:rFonts w:hint="eastAsia"/>
              </w:rPr>
              <w:t>预约认定问题探讨</w:t>
            </w:r>
          </w:p>
        </w:tc>
      </w:tr>
      <w:tr w:rsidR="0096242B" w:rsidRPr="0096242B" w:rsidTr="0096242B">
        <w:trPr>
          <w:trHeight w:val="402"/>
        </w:trPr>
        <w:tc>
          <w:tcPr>
            <w:tcW w:w="1080" w:type="dxa"/>
            <w:hideMark/>
          </w:tcPr>
          <w:p w:rsidR="0096242B" w:rsidRPr="0096242B" w:rsidRDefault="0096242B">
            <w:r w:rsidRPr="0096242B">
              <w:rPr>
                <w:rFonts w:hint="eastAsia"/>
              </w:rPr>
              <w:t>陆家豪</w:t>
            </w:r>
          </w:p>
        </w:tc>
        <w:tc>
          <w:tcPr>
            <w:tcW w:w="9820" w:type="dxa"/>
            <w:hideMark/>
          </w:tcPr>
          <w:p w:rsidR="0096242B" w:rsidRPr="0096242B" w:rsidRDefault="0096242B">
            <w:r w:rsidRPr="0096242B">
              <w:rPr>
                <w:rFonts w:hint="eastAsia"/>
              </w:rPr>
              <w:t>债权让与中之</w:t>
            </w:r>
            <w:r w:rsidR="00324B39">
              <w:rPr>
                <w:rFonts w:hint="eastAsia"/>
              </w:rPr>
              <w:t>债</w:t>
            </w:r>
            <w:r w:rsidRPr="0096242B">
              <w:rPr>
                <w:rFonts w:hint="eastAsia"/>
              </w:rPr>
              <w:t>务人抗辩——《合同法》</w:t>
            </w:r>
            <w:r w:rsidRPr="0096242B">
              <w:rPr>
                <w:rFonts w:hint="eastAsia"/>
              </w:rPr>
              <w:t xml:space="preserve"> 82 </w:t>
            </w:r>
            <w:r w:rsidRPr="0096242B">
              <w:rPr>
                <w:rFonts w:hint="eastAsia"/>
              </w:rPr>
              <w:t>条之解释</w:t>
            </w:r>
          </w:p>
        </w:tc>
      </w:tr>
      <w:tr w:rsidR="0096242B" w:rsidRPr="0096242B" w:rsidTr="0096242B">
        <w:trPr>
          <w:trHeight w:val="402"/>
        </w:trPr>
        <w:tc>
          <w:tcPr>
            <w:tcW w:w="1080" w:type="dxa"/>
            <w:hideMark/>
          </w:tcPr>
          <w:p w:rsidR="0096242B" w:rsidRPr="0096242B" w:rsidRDefault="0096242B">
            <w:r w:rsidRPr="0096242B">
              <w:rPr>
                <w:rFonts w:hint="eastAsia"/>
              </w:rPr>
              <w:t>庄绪龙</w:t>
            </w:r>
          </w:p>
        </w:tc>
        <w:tc>
          <w:tcPr>
            <w:tcW w:w="9820" w:type="dxa"/>
            <w:hideMark/>
          </w:tcPr>
          <w:p w:rsidR="0096242B" w:rsidRPr="0096242B" w:rsidRDefault="0096242B">
            <w:r w:rsidRPr="0096242B">
              <w:rPr>
                <w:rFonts w:hint="eastAsia"/>
              </w:rPr>
              <w:t>“法益可恢复性犯罪”概念之提倡</w:t>
            </w:r>
          </w:p>
        </w:tc>
      </w:tr>
      <w:tr w:rsidR="0096242B" w:rsidRPr="0096242B" w:rsidTr="0096242B">
        <w:trPr>
          <w:trHeight w:val="402"/>
        </w:trPr>
        <w:tc>
          <w:tcPr>
            <w:tcW w:w="1080" w:type="dxa"/>
            <w:hideMark/>
          </w:tcPr>
          <w:p w:rsidR="0096242B" w:rsidRPr="0096242B" w:rsidRDefault="0096242B" w:rsidP="00324B39">
            <w:r w:rsidRPr="0096242B">
              <w:rPr>
                <w:rFonts w:hint="eastAsia"/>
              </w:rPr>
              <w:t>马路</w:t>
            </w:r>
            <w:r w:rsidR="00324B39">
              <w:rPr>
                <w:rFonts w:hint="eastAsia"/>
              </w:rPr>
              <w:t>瑶</w:t>
            </w:r>
          </w:p>
        </w:tc>
        <w:tc>
          <w:tcPr>
            <w:tcW w:w="9820" w:type="dxa"/>
            <w:hideMark/>
          </w:tcPr>
          <w:p w:rsidR="0096242B" w:rsidRPr="0096242B" w:rsidRDefault="0096242B">
            <w:r w:rsidRPr="0096242B">
              <w:rPr>
                <w:rFonts w:hint="eastAsia"/>
              </w:rPr>
              <w:t>偷换店家收款二</w:t>
            </w:r>
            <w:proofErr w:type="gramStart"/>
            <w:r w:rsidRPr="0096242B">
              <w:rPr>
                <w:rFonts w:hint="eastAsia"/>
              </w:rPr>
              <w:t>维码获得</w:t>
            </w:r>
            <w:proofErr w:type="gramEnd"/>
            <w:r w:rsidRPr="0096242B">
              <w:rPr>
                <w:rFonts w:hint="eastAsia"/>
              </w:rPr>
              <w:t>营业收入行为的定性</w:t>
            </w:r>
          </w:p>
        </w:tc>
      </w:tr>
      <w:tr w:rsidR="0096242B" w:rsidRPr="0096242B" w:rsidTr="0096242B">
        <w:trPr>
          <w:trHeight w:val="402"/>
        </w:trPr>
        <w:tc>
          <w:tcPr>
            <w:tcW w:w="1080" w:type="dxa"/>
            <w:hideMark/>
          </w:tcPr>
          <w:p w:rsidR="0096242B" w:rsidRPr="0096242B" w:rsidRDefault="0096242B">
            <w:r w:rsidRPr="0096242B">
              <w:rPr>
                <w:rFonts w:hint="eastAsia"/>
              </w:rPr>
              <w:t>刘春丽</w:t>
            </w:r>
          </w:p>
        </w:tc>
        <w:tc>
          <w:tcPr>
            <w:tcW w:w="9820" w:type="dxa"/>
            <w:hideMark/>
          </w:tcPr>
          <w:p w:rsidR="0096242B" w:rsidRPr="0096242B" w:rsidRDefault="00377952">
            <w:r w:rsidRPr="00377952">
              <w:rPr>
                <w:rFonts w:hint="eastAsia"/>
              </w:rPr>
              <w:t>我国终身监禁的定性及适用路径探究</w:t>
            </w:r>
          </w:p>
        </w:tc>
      </w:tr>
      <w:tr w:rsidR="0096242B" w:rsidRPr="0096242B" w:rsidTr="0096242B">
        <w:trPr>
          <w:trHeight w:val="402"/>
        </w:trPr>
        <w:tc>
          <w:tcPr>
            <w:tcW w:w="1080" w:type="dxa"/>
            <w:hideMark/>
          </w:tcPr>
          <w:p w:rsidR="0096242B" w:rsidRPr="0096242B" w:rsidRDefault="0096242B" w:rsidP="0096242B">
            <w:r w:rsidRPr="0096242B">
              <w:rPr>
                <w:rFonts w:hint="eastAsia"/>
              </w:rPr>
              <w:t>刘昊</w:t>
            </w:r>
          </w:p>
        </w:tc>
        <w:tc>
          <w:tcPr>
            <w:tcW w:w="9820" w:type="dxa"/>
            <w:hideMark/>
          </w:tcPr>
          <w:p w:rsidR="0096242B" w:rsidRPr="0096242B" w:rsidRDefault="0096242B">
            <w:r w:rsidRPr="0096242B">
              <w:rPr>
                <w:rFonts w:hint="eastAsia"/>
              </w:rPr>
              <w:t>实质预备犯的法教义学建构——以《</w:t>
            </w:r>
            <w:bookmarkStart w:id="3" w:name="_GoBack"/>
            <w:bookmarkEnd w:id="3"/>
            <w:r w:rsidRPr="0096242B">
              <w:rPr>
                <w:rFonts w:hint="eastAsia"/>
              </w:rPr>
              <w:t>刑法修正案（九）》为起点</w:t>
            </w:r>
          </w:p>
        </w:tc>
      </w:tr>
      <w:tr w:rsidR="0096242B" w:rsidRPr="0096242B" w:rsidTr="0096242B">
        <w:trPr>
          <w:trHeight w:val="402"/>
        </w:trPr>
        <w:tc>
          <w:tcPr>
            <w:tcW w:w="1080" w:type="dxa"/>
            <w:hideMark/>
          </w:tcPr>
          <w:p w:rsidR="0096242B" w:rsidRPr="0096242B" w:rsidRDefault="0096242B" w:rsidP="0096242B">
            <w:r w:rsidRPr="0096242B">
              <w:rPr>
                <w:rFonts w:hint="eastAsia"/>
              </w:rPr>
              <w:t>聂华</w:t>
            </w:r>
          </w:p>
        </w:tc>
        <w:tc>
          <w:tcPr>
            <w:tcW w:w="9820" w:type="dxa"/>
            <w:hideMark/>
          </w:tcPr>
          <w:p w:rsidR="0096242B" w:rsidRPr="0096242B" w:rsidRDefault="0096242B">
            <w:r w:rsidRPr="0096242B">
              <w:rPr>
                <w:rFonts w:hint="eastAsia"/>
              </w:rPr>
              <w:t>上市公司因私有化主动退市之中小股东保护的法律制度构建——基于美国法经验</w:t>
            </w:r>
          </w:p>
        </w:tc>
      </w:tr>
      <w:tr w:rsidR="0096242B" w:rsidRPr="0096242B" w:rsidTr="0096242B">
        <w:trPr>
          <w:trHeight w:val="402"/>
        </w:trPr>
        <w:tc>
          <w:tcPr>
            <w:tcW w:w="1080" w:type="dxa"/>
            <w:hideMark/>
          </w:tcPr>
          <w:p w:rsidR="0096242B" w:rsidRPr="0096242B" w:rsidRDefault="0096242B" w:rsidP="0096242B">
            <w:r w:rsidRPr="0096242B">
              <w:rPr>
                <w:rFonts w:hint="eastAsia"/>
              </w:rPr>
              <w:lastRenderedPageBreak/>
              <w:t>姚遥</w:t>
            </w:r>
          </w:p>
        </w:tc>
        <w:tc>
          <w:tcPr>
            <w:tcW w:w="9820" w:type="dxa"/>
            <w:hideMark/>
          </w:tcPr>
          <w:p w:rsidR="0096242B" w:rsidRPr="0096242B" w:rsidRDefault="0096242B">
            <w:r w:rsidRPr="0096242B">
              <w:rPr>
                <w:rFonts w:hint="eastAsia"/>
              </w:rPr>
              <w:t>英美公益公司的立法比较与启示</w:t>
            </w:r>
          </w:p>
        </w:tc>
      </w:tr>
      <w:tr w:rsidR="0096242B" w:rsidRPr="0096242B" w:rsidTr="0096242B">
        <w:trPr>
          <w:trHeight w:val="402"/>
        </w:trPr>
        <w:tc>
          <w:tcPr>
            <w:tcW w:w="1080" w:type="dxa"/>
            <w:hideMark/>
          </w:tcPr>
          <w:p w:rsidR="0096242B" w:rsidRPr="0096242B" w:rsidRDefault="0096242B" w:rsidP="0096242B">
            <w:r w:rsidRPr="0096242B">
              <w:rPr>
                <w:rFonts w:hint="eastAsia"/>
              </w:rPr>
              <w:t>张柏森</w:t>
            </w:r>
          </w:p>
        </w:tc>
        <w:tc>
          <w:tcPr>
            <w:tcW w:w="9820" w:type="dxa"/>
            <w:hideMark/>
          </w:tcPr>
          <w:p w:rsidR="0096242B" w:rsidRPr="0096242B" w:rsidRDefault="0096242B">
            <w:r w:rsidRPr="0096242B">
              <w:rPr>
                <w:rFonts w:hint="eastAsia"/>
              </w:rPr>
              <w:t>公司人格否认制度中财产混同的司法认定标准的矛盾——基于</w:t>
            </w:r>
            <w:r w:rsidRPr="0096242B">
              <w:rPr>
                <w:rFonts w:hint="eastAsia"/>
              </w:rPr>
              <w:t>102</w:t>
            </w:r>
            <w:r w:rsidRPr="0096242B">
              <w:rPr>
                <w:rFonts w:hint="eastAsia"/>
              </w:rPr>
              <w:t>份司法判决书的实证研究</w:t>
            </w:r>
          </w:p>
        </w:tc>
      </w:tr>
      <w:tr w:rsidR="0096242B" w:rsidRPr="0096242B" w:rsidTr="0096242B">
        <w:trPr>
          <w:trHeight w:val="402"/>
        </w:trPr>
        <w:tc>
          <w:tcPr>
            <w:tcW w:w="1080" w:type="dxa"/>
            <w:hideMark/>
          </w:tcPr>
          <w:p w:rsidR="0096242B" w:rsidRPr="0096242B" w:rsidRDefault="0096242B" w:rsidP="0096242B">
            <w:r w:rsidRPr="0096242B">
              <w:rPr>
                <w:rFonts w:hint="eastAsia"/>
              </w:rPr>
              <w:t>罗凯中</w:t>
            </w:r>
          </w:p>
        </w:tc>
        <w:tc>
          <w:tcPr>
            <w:tcW w:w="9820" w:type="dxa"/>
            <w:hideMark/>
          </w:tcPr>
          <w:p w:rsidR="0096242B" w:rsidRPr="0096242B" w:rsidRDefault="0096242B">
            <w:r w:rsidRPr="0096242B">
              <w:rPr>
                <w:rFonts w:hint="eastAsia"/>
              </w:rPr>
              <w:t>从美</w:t>
            </w:r>
            <w:proofErr w:type="gramStart"/>
            <w:r w:rsidRPr="0096242B">
              <w:rPr>
                <w:rFonts w:hint="eastAsia"/>
              </w:rPr>
              <w:t>敦</w:t>
            </w:r>
            <w:proofErr w:type="gramEnd"/>
            <w:r w:rsidRPr="0096242B">
              <w:rPr>
                <w:rFonts w:hint="eastAsia"/>
              </w:rPr>
              <w:t>力案看我国反垄断法实施机制的完善</w:t>
            </w:r>
          </w:p>
        </w:tc>
      </w:tr>
      <w:tr w:rsidR="0096242B" w:rsidRPr="0096242B" w:rsidTr="0096242B">
        <w:trPr>
          <w:trHeight w:val="402"/>
        </w:trPr>
        <w:tc>
          <w:tcPr>
            <w:tcW w:w="1080" w:type="dxa"/>
            <w:hideMark/>
          </w:tcPr>
          <w:p w:rsidR="0096242B" w:rsidRPr="0096242B" w:rsidRDefault="0096242B" w:rsidP="0096242B">
            <w:r w:rsidRPr="0096242B">
              <w:rPr>
                <w:rFonts w:hint="eastAsia"/>
              </w:rPr>
              <w:t>王家骏</w:t>
            </w:r>
          </w:p>
        </w:tc>
        <w:tc>
          <w:tcPr>
            <w:tcW w:w="9820" w:type="dxa"/>
            <w:hideMark/>
          </w:tcPr>
          <w:p w:rsidR="0096242B" w:rsidRPr="0096242B" w:rsidRDefault="0096242B">
            <w:r w:rsidRPr="0096242B">
              <w:rPr>
                <w:rFonts w:hint="eastAsia"/>
              </w:rPr>
              <w:t>互联网保险明确说明义务问题研究——基于司法判例争议的分析</w:t>
            </w:r>
          </w:p>
        </w:tc>
      </w:tr>
      <w:tr w:rsidR="0096242B" w:rsidRPr="0096242B" w:rsidTr="0096242B">
        <w:trPr>
          <w:trHeight w:val="402"/>
        </w:trPr>
        <w:tc>
          <w:tcPr>
            <w:tcW w:w="1080" w:type="dxa"/>
            <w:hideMark/>
          </w:tcPr>
          <w:p w:rsidR="0096242B" w:rsidRPr="0096242B" w:rsidRDefault="0096242B" w:rsidP="0096242B">
            <w:r w:rsidRPr="0096242B">
              <w:rPr>
                <w:rFonts w:hint="eastAsia"/>
              </w:rPr>
              <w:t>张成松</w:t>
            </w:r>
          </w:p>
        </w:tc>
        <w:tc>
          <w:tcPr>
            <w:tcW w:w="9820" w:type="dxa"/>
            <w:hideMark/>
          </w:tcPr>
          <w:p w:rsidR="0096242B" w:rsidRPr="0096242B" w:rsidRDefault="0096242B">
            <w:r w:rsidRPr="0096242B">
              <w:rPr>
                <w:rFonts w:hint="eastAsia"/>
              </w:rPr>
              <w:t>权力清单的财税法学解构</w:t>
            </w:r>
          </w:p>
        </w:tc>
      </w:tr>
      <w:tr w:rsidR="0096242B" w:rsidRPr="0096242B" w:rsidTr="0096242B">
        <w:trPr>
          <w:trHeight w:val="402"/>
        </w:trPr>
        <w:tc>
          <w:tcPr>
            <w:tcW w:w="1080" w:type="dxa"/>
            <w:hideMark/>
          </w:tcPr>
          <w:p w:rsidR="0096242B" w:rsidRPr="0096242B" w:rsidRDefault="0096242B">
            <w:r w:rsidRPr="0096242B">
              <w:rPr>
                <w:rFonts w:hint="eastAsia"/>
              </w:rPr>
              <w:t>钱文杰</w:t>
            </w:r>
          </w:p>
        </w:tc>
        <w:tc>
          <w:tcPr>
            <w:tcW w:w="9820" w:type="dxa"/>
            <w:hideMark/>
          </w:tcPr>
          <w:p w:rsidR="0096242B" w:rsidRPr="0096242B" w:rsidRDefault="0096242B">
            <w:r w:rsidRPr="0096242B">
              <w:rPr>
                <w:rFonts w:hint="eastAsia"/>
              </w:rPr>
              <w:t>诉前会议制度：背景、价值与构造</w:t>
            </w:r>
          </w:p>
        </w:tc>
      </w:tr>
      <w:tr w:rsidR="0096242B" w:rsidRPr="0096242B" w:rsidTr="0096242B">
        <w:trPr>
          <w:trHeight w:val="402"/>
        </w:trPr>
        <w:tc>
          <w:tcPr>
            <w:tcW w:w="1080" w:type="dxa"/>
            <w:hideMark/>
          </w:tcPr>
          <w:p w:rsidR="0096242B" w:rsidRPr="0096242B" w:rsidRDefault="0096242B" w:rsidP="0096242B">
            <w:r w:rsidRPr="0096242B">
              <w:rPr>
                <w:rFonts w:hint="eastAsia"/>
              </w:rPr>
              <w:t>许瑞超</w:t>
            </w:r>
          </w:p>
        </w:tc>
        <w:tc>
          <w:tcPr>
            <w:tcW w:w="9820" w:type="dxa"/>
            <w:hideMark/>
          </w:tcPr>
          <w:p w:rsidR="0096242B" w:rsidRPr="0096242B" w:rsidRDefault="0096242B">
            <w:r w:rsidRPr="0096242B">
              <w:rPr>
                <w:rFonts w:hint="eastAsia"/>
              </w:rPr>
              <w:t>民事裁判中的基本权利保障——以民事裁判的</w:t>
            </w:r>
            <w:proofErr w:type="gramStart"/>
            <w:r w:rsidRPr="0096242B">
              <w:rPr>
                <w:rFonts w:hint="eastAsia"/>
              </w:rPr>
              <w:t>内部证</w:t>
            </w:r>
            <w:proofErr w:type="gramEnd"/>
            <w:r w:rsidRPr="0096242B">
              <w:rPr>
                <w:rFonts w:hint="eastAsia"/>
              </w:rPr>
              <w:t>成与</w:t>
            </w:r>
            <w:proofErr w:type="gramStart"/>
            <w:r w:rsidRPr="0096242B">
              <w:rPr>
                <w:rFonts w:hint="eastAsia"/>
              </w:rPr>
              <w:t>外部证</w:t>
            </w:r>
            <w:proofErr w:type="gramEnd"/>
            <w:r w:rsidRPr="0096242B">
              <w:rPr>
                <w:rFonts w:hint="eastAsia"/>
              </w:rPr>
              <w:t>成为视角</w:t>
            </w:r>
          </w:p>
        </w:tc>
      </w:tr>
      <w:tr w:rsidR="0096242B" w:rsidRPr="0096242B" w:rsidTr="0096242B">
        <w:trPr>
          <w:trHeight w:val="402"/>
        </w:trPr>
        <w:tc>
          <w:tcPr>
            <w:tcW w:w="1080" w:type="dxa"/>
            <w:hideMark/>
          </w:tcPr>
          <w:p w:rsidR="0096242B" w:rsidRPr="0096242B" w:rsidRDefault="0096242B">
            <w:r w:rsidRPr="0096242B">
              <w:rPr>
                <w:rFonts w:hint="eastAsia"/>
              </w:rPr>
              <w:t>丁磊</w:t>
            </w:r>
          </w:p>
        </w:tc>
        <w:tc>
          <w:tcPr>
            <w:tcW w:w="9820" w:type="dxa"/>
            <w:hideMark/>
          </w:tcPr>
          <w:p w:rsidR="0096242B" w:rsidRPr="0096242B" w:rsidRDefault="0096242B">
            <w:r w:rsidRPr="0096242B">
              <w:rPr>
                <w:rFonts w:hint="eastAsia"/>
              </w:rPr>
              <w:t>股东派生诉讼“成本</w:t>
            </w:r>
            <w:r w:rsidRPr="0096242B">
              <w:rPr>
                <w:rFonts w:hint="eastAsia"/>
              </w:rPr>
              <w:t>-</w:t>
            </w:r>
            <w:r w:rsidRPr="0096242B">
              <w:rPr>
                <w:rFonts w:hint="eastAsia"/>
              </w:rPr>
              <w:t>收益”激励实证研究——以</w:t>
            </w:r>
            <w:r w:rsidRPr="0096242B">
              <w:rPr>
                <w:rFonts w:hint="eastAsia"/>
              </w:rPr>
              <w:t>2012</w:t>
            </w:r>
            <w:r w:rsidRPr="0096242B">
              <w:rPr>
                <w:rFonts w:hint="eastAsia"/>
              </w:rPr>
              <w:t>年</w:t>
            </w:r>
            <w:r w:rsidRPr="0096242B">
              <w:rPr>
                <w:rFonts w:hint="eastAsia"/>
              </w:rPr>
              <w:t>~2016</w:t>
            </w:r>
            <w:r w:rsidRPr="0096242B">
              <w:rPr>
                <w:rFonts w:hint="eastAsia"/>
              </w:rPr>
              <w:t>年</w:t>
            </w:r>
            <w:r w:rsidRPr="0096242B">
              <w:rPr>
                <w:rFonts w:hint="eastAsia"/>
              </w:rPr>
              <w:t>106</w:t>
            </w:r>
            <w:r w:rsidRPr="0096242B">
              <w:rPr>
                <w:rFonts w:hint="eastAsia"/>
              </w:rPr>
              <w:t>份判决书为视角</w:t>
            </w:r>
          </w:p>
        </w:tc>
      </w:tr>
      <w:tr w:rsidR="0096242B" w:rsidRPr="0096242B" w:rsidTr="0096242B">
        <w:trPr>
          <w:trHeight w:val="402"/>
        </w:trPr>
        <w:tc>
          <w:tcPr>
            <w:tcW w:w="1080" w:type="dxa"/>
            <w:hideMark/>
          </w:tcPr>
          <w:p w:rsidR="0096242B" w:rsidRPr="0096242B" w:rsidRDefault="0096242B" w:rsidP="0096242B">
            <w:proofErr w:type="gramStart"/>
            <w:r w:rsidRPr="0096242B">
              <w:rPr>
                <w:rFonts w:hint="eastAsia"/>
              </w:rPr>
              <w:t>宋保振</w:t>
            </w:r>
            <w:proofErr w:type="gramEnd"/>
          </w:p>
        </w:tc>
        <w:tc>
          <w:tcPr>
            <w:tcW w:w="9820" w:type="dxa"/>
            <w:hideMark/>
          </w:tcPr>
          <w:p w:rsidR="0096242B" w:rsidRPr="0096242B" w:rsidRDefault="0096242B">
            <w:r w:rsidRPr="0096242B">
              <w:rPr>
                <w:rFonts w:hint="eastAsia"/>
              </w:rPr>
              <w:t>论后果导向裁判的认定、运行及其限度——基于公报案例和司法调研数据的考察</w:t>
            </w:r>
          </w:p>
        </w:tc>
      </w:tr>
      <w:tr w:rsidR="0096242B" w:rsidRPr="0096242B" w:rsidTr="0096242B">
        <w:trPr>
          <w:trHeight w:val="402"/>
        </w:trPr>
        <w:tc>
          <w:tcPr>
            <w:tcW w:w="1080" w:type="dxa"/>
            <w:hideMark/>
          </w:tcPr>
          <w:p w:rsidR="0096242B" w:rsidRPr="0096242B" w:rsidRDefault="0096242B" w:rsidP="0096242B">
            <w:r w:rsidRPr="0096242B">
              <w:rPr>
                <w:rFonts w:hint="eastAsia"/>
              </w:rPr>
              <w:t>蒋圣力</w:t>
            </w:r>
          </w:p>
        </w:tc>
        <w:tc>
          <w:tcPr>
            <w:tcW w:w="9820" w:type="dxa"/>
            <w:hideMark/>
          </w:tcPr>
          <w:p w:rsidR="0096242B" w:rsidRPr="0096242B" w:rsidRDefault="0096242B">
            <w:r w:rsidRPr="0096242B">
              <w:rPr>
                <w:rFonts w:hint="eastAsia"/>
              </w:rPr>
              <w:t>论否定恐怖分子取得难民地位的国际法依据</w:t>
            </w:r>
          </w:p>
        </w:tc>
      </w:tr>
      <w:tr w:rsidR="0096242B" w:rsidRPr="0096242B" w:rsidTr="0096242B">
        <w:trPr>
          <w:trHeight w:val="402"/>
        </w:trPr>
        <w:tc>
          <w:tcPr>
            <w:tcW w:w="1080" w:type="dxa"/>
            <w:hideMark/>
          </w:tcPr>
          <w:p w:rsidR="0096242B" w:rsidRPr="0096242B" w:rsidRDefault="0096242B">
            <w:proofErr w:type="gramStart"/>
            <w:r w:rsidRPr="0096242B">
              <w:rPr>
                <w:rFonts w:hint="eastAsia"/>
              </w:rPr>
              <w:t>牛元</w:t>
            </w:r>
            <w:proofErr w:type="gramEnd"/>
          </w:p>
        </w:tc>
        <w:tc>
          <w:tcPr>
            <w:tcW w:w="9820" w:type="dxa"/>
            <w:hideMark/>
          </w:tcPr>
          <w:p w:rsidR="0096242B" w:rsidRPr="0096242B" w:rsidRDefault="0096242B">
            <w:r w:rsidRPr="0096242B">
              <w:rPr>
                <w:rFonts w:hint="eastAsia"/>
              </w:rPr>
              <w:t>我国涉外协议管辖制度之检视</w:t>
            </w:r>
            <w:r w:rsidRPr="0096242B">
              <w:rPr>
                <w:rFonts w:hint="eastAsia"/>
              </w:rPr>
              <w:t xml:space="preserve">-- -- </w:t>
            </w:r>
            <w:r w:rsidRPr="0096242B">
              <w:rPr>
                <w:rFonts w:hint="eastAsia"/>
              </w:rPr>
              <w:t>以中英法院对同一提单协议管辖条款效力的不同认定为视角</w:t>
            </w:r>
          </w:p>
        </w:tc>
      </w:tr>
      <w:tr w:rsidR="0096242B" w:rsidRPr="0096242B" w:rsidTr="0096242B">
        <w:trPr>
          <w:trHeight w:val="402"/>
        </w:trPr>
        <w:tc>
          <w:tcPr>
            <w:tcW w:w="1080" w:type="dxa"/>
            <w:hideMark/>
          </w:tcPr>
          <w:p w:rsidR="0096242B" w:rsidRPr="0096242B" w:rsidRDefault="0096242B" w:rsidP="0096242B">
            <w:r w:rsidRPr="0096242B">
              <w:rPr>
                <w:rFonts w:hint="eastAsia"/>
              </w:rPr>
              <w:t>尹海新</w:t>
            </w:r>
          </w:p>
        </w:tc>
        <w:tc>
          <w:tcPr>
            <w:tcW w:w="9820" w:type="dxa"/>
            <w:hideMark/>
          </w:tcPr>
          <w:p w:rsidR="0096242B" w:rsidRPr="0096242B" w:rsidRDefault="0096242B">
            <w:r w:rsidRPr="0096242B">
              <w:rPr>
                <w:rFonts w:hint="eastAsia"/>
              </w:rPr>
              <w:t>论中国与习惯国际法的关系及中国对国际法之形成和发展应起的作用</w:t>
            </w:r>
          </w:p>
        </w:tc>
      </w:tr>
      <w:tr w:rsidR="006A378D" w:rsidRPr="0096242B" w:rsidTr="0096242B">
        <w:trPr>
          <w:trHeight w:val="402"/>
        </w:trPr>
        <w:tc>
          <w:tcPr>
            <w:tcW w:w="1080" w:type="dxa"/>
          </w:tcPr>
          <w:p w:rsidR="006A378D" w:rsidRPr="006A378D" w:rsidRDefault="006A378D" w:rsidP="0096242B">
            <w:r>
              <w:rPr>
                <w:rFonts w:hint="eastAsia"/>
                <w:color w:val="000000"/>
                <w:szCs w:val="21"/>
                <w:shd w:val="clear" w:color="auto" w:fill="FFFFFF"/>
              </w:rPr>
              <w:t>沈翊卿</w:t>
            </w:r>
          </w:p>
        </w:tc>
        <w:tc>
          <w:tcPr>
            <w:tcW w:w="9820" w:type="dxa"/>
          </w:tcPr>
          <w:p w:rsidR="006A378D" w:rsidRPr="006A378D" w:rsidRDefault="006A378D" w:rsidP="006A378D">
            <w:r w:rsidRPr="006A378D">
              <w:rPr>
                <w:rFonts w:hint="eastAsia"/>
              </w:rPr>
              <w:t>论长期合同中的特意待定合同条款</w:t>
            </w:r>
          </w:p>
        </w:tc>
      </w:tr>
    </w:tbl>
    <w:p w:rsidR="004F047B" w:rsidRPr="006A378D" w:rsidRDefault="004F047B"/>
    <w:sectPr w:rsidR="004F047B" w:rsidRPr="006A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3C"/>
    <w:rsid w:val="00324B39"/>
    <w:rsid w:val="00377952"/>
    <w:rsid w:val="004F047B"/>
    <w:rsid w:val="006A378D"/>
    <w:rsid w:val="00855C3C"/>
    <w:rsid w:val="0096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F038C-AD4D-4FFE-B82A-BD77CE2F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semiHidden/>
    <w:unhideWhenUsed/>
    <w:rsid w:val="006A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乔江玲</dc:creator>
  <cp:keywords/>
  <dc:description/>
  <cp:lastModifiedBy>乔江玲</cp:lastModifiedBy>
  <cp:revision>5</cp:revision>
  <dcterms:created xsi:type="dcterms:W3CDTF">2017-03-06T01:46:00Z</dcterms:created>
  <dcterms:modified xsi:type="dcterms:W3CDTF">2017-03-06T06:48:00Z</dcterms:modified>
</cp:coreProperties>
</file>